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ACB" w:rsidRDefault="00055ACB" w:rsidP="00055ACB">
      <w:pPr>
        <w:spacing w:line="480" w:lineRule="auto"/>
      </w:pPr>
    </w:p>
    <w:p w:rsidR="00055ACB" w:rsidRDefault="00055ACB" w:rsidP="00055ACB">
      <w:pPr>
        <w:spacing w:line="480" w:lineRule="auto"/>
      </w:pPr>
    </w:p>
    <w:p w:rsidR="00FE36BB" w:rsidRPr="00055ACB" w:rsidRDefault="00FE1D98" w:rsidP="00055ACB">
      <w:pPr>
        <w:spacing w:line="480" w:lineRule="auto"/>
        <w:jc w:val="center"/>
        <w:rPr>
          <w:b/>
        </w:rPr>
      </w:pPr>
      <w:r w:rsidRPr="00055ACB">
        <w:rPr>
          <w:b/>
        </w:rPr>
        <w:t>Abstract 8</w:t>
      </w:r>
    </w:p>
    <w:p w:rsidR="003E0FF8" w:rsidRDefault="003E0FF8" w:rsidP="003E0FF8">
      <w:pPr>
        <w:spacing w:line="480" w:lineRule="auto"/>
        <w:jc w:val="center"/>
      </w:pPr>
    </w:p>
    <w:p w:rsidR="003E0FF8" w:rsidRDefault="003E0FF8" w:rsidP="00055ACB">
      <w:pPr>
        <w:spacing w:line="480" w:lineRule="auto"/>
      </w:pPr>
    </w:p>
    <w:p w:rsidR="003E0FF8" w:rsidRDefault="00FE1D98" w:rsidP="003E0FF8">
      <w:pPr>
        <w:spacing w:line="480" w:lineRule="auto"/>
        <w:jc w:val="center"/>
      </w:pPr>
      <w:r>
        <w:t>Name</w:t>
      </w:r>
    </w:p>
    <w:p w:rsidR="003E0FF8" w:rsidRDefault="00FE1D98" w:rsidP="003E0FF8">
      <w:pPr>
        <w:spacing w:line="480" w:lineRule="auto"/>
        <w:jc w:val="center"/>
      </w:pPr>
      <w:r>
        <w:t>Institute of Affiliation</w:t>
      </w:r>
    </w:p>
    <w:p w:rsidR="003E0FF8" w:rsidRDefault="00FE1D98" w:rsidP="003E0FF8">
      <w:pPr>
        <w:spacing w:line="480" w:lineRule="auto"/>
        <w:jc w:val="center"/>
      </w:pPr>
      <w:r>
        <w:t>Professor</w:t>
      </w:r>
    </w:p>
    <w:p w:rsidR="003E0FF8" w:rsidRDefault="00FE1D98" w:rsidP="003E0FF8">
      <w:pPr>
        <w:spacing w:line="480" w:lineRule="auto"/>
        <w:jc w:val="center"/>
      </w:pPr>
      <w:r>
        <w:t>Date</w:t>
      </w:r>
    </w:p>
    <w:p w:rsidR="003E0FF8" w:rsidRDefault="003E0FF8" w:rsidP="003E0FF8">
      <w:pPr>
        <w:spacing w:line="480" w:lineRule="auto"/>
        <w:jc w:val="center"/>
      </w:pPr>
    </w:p>
    <w:p w:rsidR="003E0FF8" w:rsidRDefault="003E0FF8" w:rsidP="003E0FF8">
      <w:pPr>
        <w:spacing w:line="480" w:lineRule="auto"/>
        <w:jc w:val="center"/>
      </w:pPr>
    </w:p>
    <w:p w:rsidR="003E0FF8" w:rsidRDefault="003E0FF8" w:rsidP="003E0FF8">
      <w:pPr>
        <w:spacing w:line="480" w:lineRule="auto"/>
        <w:jc w:val="center"/>
      </w:pPr>
    </w:p>
    <w:p w:rsidR="003E0FF8" w:rsidRDefault="003E0FF8" w:rsidP="003E0FF8">
      <w:pPr>
        <w:spacing w:line="480" w:lineRule="auto"/>
        <w:jc w:val="center"/>
      </w:pPr>
    </w:p>
    <w:p w:rsidR="003E0FF8" w:rsidRDefault="003E0FF8" w:rsidP="003E0FF8">
      <w:pPr>
        <w:spacing w:line="480" w:lineRule="auto"/>
        <w:jc w:val="center"/>
      </w:pPr>
    </w:p>
    <w:p w:rsidR="003E0FF8" w:rsidRDefault="003E0FF8" w:rsidP="003E0FF8">
      <w:pPr>
        <w:spacing w:line="480" w:lineRule="auto"/>
        <w:jc w:val="center"/>
      </w:pPr>
    </w:p>
    <w:p w:rsidR="003E0FF8" w:rsidRDefault="003E0FF8" w:rsidP="003E0FF8">
      <w:pPr>
        <w:spacing w:line="480" w:lineRule="auto"/>
        <w:jc w:val="center"/>
      </w:pPr>
    </w:p>
    <w:p w:rsidR="003E0FF8" w:rsidRDefault="003E0FF8" w:rsidP="003E0FF8">
      <w:pPr>
        <w:spacing w:line="480" w:lineRule="auto"/>
        <w:jc w:val="center"/>
      </w:pPr>
    </w:p>
    <w:p w:rsidR="003E0FF8" w:rsidRDefault="003E0FF8" w:rsidP="003E0FF8">
      <w:pPr>
        <w:spacing w:line="480" w:lineRule="auto"/>
        <w:jc w:val="center"/>
      </w:pPr>
    </w:p>
    <w:p w:rsidR="003E0FF8" w:rsidRPr="008B3FEA" w:rsidRDefault="00FE1D98" w:rsidP="008B3FEA">
      <w:pPr>
        <w:tabs>
          <w:tab w:val="left" w:pos="525"/>
        </w:tabs>
        <w:spacing w:line="480" w:lineRule="auto"/>
        <w:jc w:val="center"/>
        <w:rPr>
          <w:b/>
        </w:rPr>
      </w:pPr>
      <w:r w:rsidRPr="008B3FEA">
        <w:rPr>
          <w:b/>
        </w:rPr>
        <w:lastRenderedPageBreak/>
        <w:t>Abstract 8</w:t>
      </w:r>
    </w:p>
    <w:p w:rsidR="003E0FF8" w:rsidRPr="008B3FEA" w:rsidRDefault="00FE1D98" w:rsidP="003E0FF8">
      <w:pPr>
        <w:tabs>
          <w:tab w:val="left" w:pos="525"/>
        </w:tabs>
        <w:spacing w:line="480" w:lineRule="auto"/>
        <w:rPr>
          <w:b/>
        </w:rPr>
      </w:pPr>
      <w:r w:rsidRPr="008B3FEA">
        <w:rPr>
          <w:b/>
        </w:rPr>
        <w:t>Topic</w:t>
      </w:r>
    </w:p>
    <w:p w:rsidR="00A878E9" w:rsidRDefault="00FE1D98" w:rsidP="00055ACB">
      <w:pPr>
        <w:tabs>
          <w:tab w:val="left" w:pos="525"/>
        </w:tabs>
        <w:spacing w:line="240" w:lineRule="auto"/>
      </w:pPr>
      <w:r w:rsidRPr="00055ACB">
        <w:t>Artz, G. M., Eathington, L., Francois, J., Masinde, M., &amp; Orazem, P. F. (2020). Churning in Rural and Urban Retail Markets. </w:t>
      </w:r>
      <w:r w:rsidRPr="00055ACB">
        <w:rPr>
          <w:i/>
          <w:iCs/>
        </w:rPr>
        <w:t>Review of Regional Studies</w:t>
      </w:r>
      <w:r w:rsidRPr="00055ACB">
        <w:t>, </w:t>
      </w:r>
      <w:r w:rsidRPr="00055ACB">
        <w:rPr>
          <w:i/>
          <w:iCs/>
        </w:rPr>
        <w:t>50</w:t>
      </w:r>
      <w:r w:rsidRPr="00055ACB">
        <w:t>(1), 110-126.</w:t>
      </w:r>
    </w:p>
    <w:p w:rsidR="00A878E9" w:rsidRPr="008B3FEA" w:rsidRDefault="00FE1D98" w:rsidP="003E0FF8">
      <w:pPr>
        <w:tabs>
          <w:tab w:val="left" w:pos="525"/>
        </w:tabs>
        <w:spacing w:line="480" w:lineRule="auto"/>
        <w:rPr>
          <w:b/>
        </w:rPr>
      </w:pPr>
      <w:r w:rsidRPr="008B3FEA">
        <w:rPr>
          <w:b/>
        </w:rPr>
        <w:t>Purpose</w:t>
      </w:r>
    </w:p>
    <w:p w:rsidR="00A878E9" w:rsidRDefault="00FE1D98" w:rsidP="00055ACB">
      <w:pPr>
        <w:tabs>
          <w:tab w:val="left" w:pos="525"/>
        </w:tabs>
        <w:spacing w:line="240" w:lineRule="auto"/>
      </w:pPr>
      <w:r>
        <w:t xml:space="preserve">This article is intended to assess whether forms of marketing firm entry and departure are dependable with agitating. Confirmation proposes that there is extra churning in metropolitan than rural zones. The amount </w:t>
      </w:r>
      <w:r w:rsidR="0069081A">
        <w:t>of equally</w:t>
      </w:r>
      <w:r>
        <w:t xml:space="preserve"> firm entry </w:t>
      </w:r>
      <w:r w:rsidR="0069081A">
        <w:t xml:space="preserve">and departure is uppermost in urban markets that countryside markets. Nationwide data of marketing firm entry and departure are consistent by the churning procedure. </w:t>
      </w:r>
    </w:p>
    <w:p w:rsidR="0069081A" w:rsidRPr="008B3FEA" w:rsidRDefault="00FE1D98" w:rsidP="003E0FF8">
      <w:pPr>
        <w:tabs>
          <w:tab w:val="left" w:pos="525"/>
        </w:tabs>
        <w:spacing w:line="480" w:lineRule="auto"/>
        <w:rPr>
          <w:b/>
        </w:rPr>
      </w:pPr>
      <w:r w:rsidRPr="008B3FEA">
        <w:rPr>
          <w:b/>
        </w:rPr>
        <w:t>Problem</w:t>
      </w:r>
    </w:p>
    <w:p w:rsidR="0069081A" w:rsidRDefault="00FE1D98" w:rsidP="00055ACB">
      <w:pPr>
        <w:tabs>
          <w:tab w:val="left" w:pos="525"/>
        </w:tabs>
        <w:spacing w:line="240" w:lineRule="auto"/>
      </w:pPr>
      <w:r>
        <w:t xml:space="preserve">The use of formations is making the firms to have second thoughts on joining the 99 possible </w:t>
      </w:r>
      <w:r>
        <w:t xml:space="preserve">marketplaces based on the known evidence in the marketplace. </w:t>
      </w:r>
      <w:r w:rsidR="00D23A3C">
        <w:t xml:space="preserve"> Previous firms have</w:t>
      </w:r>
      <w:r>
        <w:t xml:space="preserve"> not been</w:t>
      </w:r>
      <w:r w:rsidR="00D23A3C">
        <w:t xml:space="preserve"> included </w:t>
      </w:r>
      <w:r>
        <w:t xml:space="preserve">in the </w:t>
      </w:r>
      <w:r w:rsidR="00D23A3C">
        <w:t>evidence</w:t>
      </w:r>
      <w:r>
        <w:t xml:space="preserve"> since they did not </w:t>
      </w:r>
      <w:r w:rsidR="00D23A3C">
        <w:t>occur</w:t>
      </w:r>
      <w:r>
        <w:t>.</w:t>
      </w:r>
      <w:r w:rsidR="00D23A3C">
        <w:t xml:space="preserve"> The legitimacy of the tests respites on the hypothesis that the overlooked firms and location precise profit are not themselves connected with revolution now the marketplace measures.</w:t>
      </w:r>
    </w:p>
    <w:p w:rsidR="00D23A3C" w:rsidRPr="008B3FEA" w:rsidRDefault="00FE1D98" w:rsidP="003E0FF8">
      <w:pPr>
        <w:tabs>
          <w:tab w:val="left" w:pos="525"/>
        </w:tabs>
        <w:spacing w:line="480" w:lineRule="auto"/>
        <w:rPr>
          <w:b/>
        </w:rPr>
      </w:pPr>
      <w:r w:rsidRPr="008B3FEA">
        <w:rPr>
          <w:b/>
        </w:rPr>
        <w:t>Procedure</w:t>
      </w:r>
    </w:p>
    <w:p w:rsidR="00D23A3C" w:rsidRDefault="00FE1D98" w:rsidP="00055ACB">
      <w:pPr>
        <w:tabs>
          <w:tab w:val="left" w:pos="525"/>
        </w:tabs>
        <w:spacing w:line="240" w:lineRule="auto"/>
      </w:pPr>
      <w:r>
        <w:t>The researchers harmonized their marketplace selling sales firms start-ups compiled from the lower edition of the National Establishment Time Series.</w:t>
      </w:r>
      <w:r w:rsidR="00547C1B">
        <w:t xml:space="preserve"> The growing probability increases with the organization, out traveling increased wildest in the cities </w:t>
      </w:r>
      <w:r w:rsidR="00DE51EA">
        <w:t>under two thousand populace attaining seventy-three percent. They dignified the in travelers by the percentage of native employees by their workplace and shared by the populace. The Internet was figured to interfere with native retail trades. The researchers also used Herfindal to quantify the monetary diversity of products in a country. Regions with greatly focused</w:t>
      </w:r>
      <w:r w:rsidR="00DC43E9">
        <w:t xml:space="preserve"> economies are susceptible to explosions and arrests because of the high concentration of population. </w:t>
      </w:r>
    </w:p>
    <w:p w:rsidR="00DC43E9" w:rsidRPr="008B3FEA" w:rsidRDefault="00FE1D98" w:rsidP="003E0FF8">
      <w:pPr>
        <w:tabs>
          <w:tab w:val="left" w:pos="525"/>
        </w:tabs>
        <w:spacing w:line="480" w:lineRule="auto"/>
        <w:rPr>
          <w:b/>
        </w:rPr>
      </w:pPr>
      <w:r w:rsidRPr="008B3FEA">
        <w:rPr>
          <w:b/>
        </w:rPr>
        <w:t xml:space="preserve">Results </w:t>
      </w:r>
    </w:p>
    <w:p w:rsidR="00DC43E9" w:rsidRDefault="00655F32" w:rsidP="00055ACB">
      <w:pPr>
        <w:tabs>
          <w:tab w:val="left" w:pos="525"/>
        </w:tabs>
        <w:spacing w:line="240" w:lineRule="auto"/>
      </w:pPr>
      <w:r>
        <w:t>They needed to find</w:t>
      </w:r>
      <w:bookmarkStart w:id="0" w:name="_GoBack"/>
      <w:bookmarkEnd w:id="0"/>
      <w:r w:rsidR="00FE1D98">
        <w:t xml:space="preserve"> the factors that upset the natural log of real region chargeable trade sales. The common features used are native retail and populace. Native availability of high internet does not disturb n</w:t>
      </w:r>
      <w:r w:rsidR="00FE1D98">
        <w:t>ative sales. Native access to materials is also not associated with the level of marketing sales. An increase in population raises chargeable marketing sales.</w:t>
      </w:r>
    </w:p>
    <w:p w:rsidR="00CF3081" w:rsidRPr="008B3FEA" w:rsidRDefault="00FE1D98" w:rsidP="003E0FF8">
      <w:pPr>
        <w:tabs>
          <w:tab w:val="left" w:pos="525"/>
        </w:tabs>
        <w:spacing w:line="480" w:lineRule="auto"/>
        <w:rPr>
          <w:b/>
        </w:rPr>
      </w:pPr>
      <w:r w:rsidRPr="008B3FEA">
        <w:rPr>
          <w:b/>
        </w:rPr>
        <w:t>Conclusion</w:t>
      </w:r>
    </w:p>
    <w:p w:rsidR="00CF3081" w:rsidRDefault="00FE1D98" w:rsidP="00055ACB">
      <w:pPr>
        <w:tabs>
          <w:tab w:val="left" w:pos="525"/>
        </w:tabs>
        <w:spacing w:line="240" w:lineRule="auto"/>
      </w:pPr>
      <w:r>
        <w:t>This study recognizes distinctions in commercial policymaking between tinny rural mark</w:t>
      </w:r>
      <w:r>
        <w:t xml:space="preserve">etplaces and dense urban marketplaces. The similar factors that surge the marketing sales because of the </w:t>
      </w:r>
      <w:r>
        <w:lastRenderedPageBreak/>
        <w:t>segment's low cost of entrance, exit, and its widespread presence transversely markets. Marketplaces with solid industrious attributes that entice more</w:t>
      </w:r>
      <w:r>
        <w:t xml:space="preserve"> firm entrance will also have a quicker influx rate of leading </w:t>
      </w:r>
      <w:r w:rsidR="008B3FEA">
        <w:t xml:space="preserve">tycoons who can relocate inventive entrants leading to better firm revenue. </w:t>
      </w:r>
    </w:p>
    <w:p w:rsidR="00A878E9" w:rsidRDefault="00A878E9" w:rsidP="003E0FF8">
      <w:pPr>
        <w:tabs>
          <w:tab w:val="left" w:pos="525"/>
        </w:tabs>
        <w:spacing w:line="480" w:lineRule="auto"/>
      </w:pPr>
    </w:p>
    <w:p w:rsidR="003E0FF8" w:rsidRDefault="003E0FF8" w:rsidP="003E0FF8">
      <w:pPr>
        <w:spacing w:line="480" w:lineRule="auto"/>
        <w:jc w:val="center"/>
      </w:pPr>
    </w:p>
    <w:p w:rsidR="003E0FF8" w:rsidRPr="003E0FF8" w:rsidRDefault="003E0FF8" w:rsidP="003E0FF8"/>
    <w:sectPr w:rsidR="003E0FF8" w:rsidRPr="003E0FF8" w:rsidSect="00FE36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D98" w:rsidRDefault="00FE1D98">
      <w:pPr>
        <w:spacing w:after="0" w:line="240" w:lineRule="auto"/>
      </w:pPr>
      <w:r>
        <w:separator/>
      </w:r>
    </w:p>
  </w:endnote>
  <w:endnote w:type="continuationSeparator" w:id="0">
    <w:p w:rsidR="00FE1D98" w:rsidRDefault="00FE1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D98" w:rsidRDefault="00FE1D98">
      <w:pPr>
        <w:spacing w:after="0" w:line="240" w:lineRule="auto"/>
      </w:pPr>
      <w:r>
        <w:separator/>
      </w:r>
    </w:p>
  </w:footnote>
  <w:footnote w:type="continuationSeparator" w:id="0">
    <w:p w:rsidR="00FE1D98" w:rsidRDefault="00FE1D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1474569"/>
      <w:docPartObj>
        <w:docPartGallery w:val="Page Numbers (Top of Page)"/>
        <w:docPartUnique/>
      </w:docPartObj>
    </w:sdtPr>
    <w:sdtEndPr>
      <w:rPr>
        <w:noProof/>
      </w:rPr>
    </w:sdtEndPr>
    <w:sdtContent>
      <w:p w:rsidR="00FE36BB" w:rsidRDefault="00FE1D98">
        <w:pPr>
          <w:pStyle w:val="Header"/>
          <w:jc w:val="right"/>
        </w:pPr>
        <w:r>
          <w:fldChar w:fldCharType="begin"/>
        </w:r>
        <w:r>
          <w:instrText xml:space="preserve"> PAGE   \* MERGEFORMAT </w:instrText>
        </w:r>
        <w:r>
          <w:fldChar w:fldCharType="separate"/>
        </w:r>
        <w:r w:rsidR="00655F32">
          <w:rPr>
            <w:noProof/>
          </w:rPr>
          <w:t>2</w:t>
        </w:r>
        <w:r>
          <w:rPr>
            <w:noProof/>
          </w:rPr>
          <w:fldChar w:fldCharType="end"/>
        </w:r>
      </w:p>
    </w:sdtContent>
  </w:sdt>
  <w:p w:rsidR="00FE36BB" w:rsidRDefault="00FE36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71939"/>
      <w:docPartObj>
        <w:docPartGallery w:val="Page Numbers (Top of Page)"/>
        <w:docPartUnique/>
      </w:docPartObj>
    </w:sdtPr>
    <w:sdtEndPr>
      <w:rPr>
        <w:noProof/>
      </w:rPr>
    </w:sdtEndPr>
    <w:sdtContent>
      <w:p w:rsidR="00FE36BB" w:rsidRDefault="00FE1D98">
        <w:pPr>
          <w:pStyle w:val="Header"/>
          <w:jc w:val="right"/>
        </w:pPr>
        <w:r>
          <w:fldChar w:fldCharType="begin"/>
        </w:r>
        <w:r>
          <w:instrText xml:space="preserve"> PAGE   \* MERGEFORMAT </w:instrText>
        </w:r>
        <w:r>
          <w:fldChar w:fldCharType="separate"/>
        </w:r>
        <w:r w:rsidR="00655F32">
          <w:rPr>
            <w:noProof/>
          </w:rPr>
          <w:t>1</w:t>
        </w:r>
        <w:r>
          <w:rPr>
            <w:noProof/>
          </w:rPr>
          <w:fldChar w:fldCharType="end"/>
        </w:r>
      </w:p>
    </w:sdtContent>
  </w:sdt>
  <w:p w:rsidR="00FE36BB" w:rsidRDefault="00FE36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BB"/>
    <w:rsid w:val="00055ACB"/>
    <w:rsid w:val="000920BB"/>
    <w:rsid w:val="001D4CF1"/>
    <w:rsid w:val="00255E8C"/>
    <w:rsid w:val="003409E3"/>
    <w:rsid w:val="003E0FF8"/>
    <w:rsid w:val="0040147C"/>
    <w:rsid w:val="005171E2"/>
    <w:rsid w:val="00547C1B"/>
    <w:rsid w:val="0057417E"/>
    <w:rsid w:val="005B0ADA"/>
    <w:rsid w:val="00655F32"/>
    <w:rsid w:val="0069081A"/>
    <w:rsid w:val="00745CD7"/>
    <w:rsid w:val="0080338D"/>
    <w:rsid w:val="008122A1"/>
    <w:rsid w:val="008B3FEA"/>
    <w:rsid w:val="00A878E9"/>
    <w:rsid w:val="00CC77BA"/>
    <w:rsid w:val="00CF3081"/>
    <w:rsid w:val="00D23A3C"/>
    <w:rsid w:val="00DC43E9"/>
    <w:rsid w:val="00DE51EA"/>
    <w:rsid w:val="00F31E3E"/>
    <w:rsid w:val="00FE1D98"/>
    <w:rsid w:val="00FE3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4</cp:revision>
  <dcterms:created xsi:type="dcterms:W3CDTF">2020-07-23T20:45:00Z</dcterms:created>
  <dcterms:modified xsi:type="dcterms:W3CDTF">2020-07-23T23:39:00Z</dcterms:modified>
</cp:coreProperties>
</file>